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473" w:rsidRPr="00A73473" w:rsidRDefault="00A73473" w:rsidP="00A73473">
      <w:pPr>
        <w:shd w:val="clear" w:color="auto" w:fill="FFFFFF"/>
        <w:spacing w:before="150" w:after="150" w:line="360" w:lineRule="atLeast"/>
        <w:jc w:val="both"/>
        <w:outlineLvl w:val="1"/>
        <w:rPr>
          <w:rFonts w:ascii="Helvetica" w:eastAsia="Times New Roman" w:hAnsi="Helvetica" w:cs="Helvetica"/>
          <w:b/>
          <w:bCs/>
          <w:color w:val="65A537"/>
          <w:spacing w:val="-15"/>
          <w:sz w:val="36"/>
          <w:szCs w:val="36"/>
        </w:rPr>
      </w:pPr>
      <w:r w:rsidRPr="00A73473">
        <w:rPr>
          <w:rFonts w:ascii="Helvetica" w:eastAsia="Times New Roman" w:hAnsi="Helvetica" w:cs="Helvetica"/>
          <w:b/>
          <w:bCs/>
          <w:color w:val="65A537"/>
          <w:spacing w:val="-15"/>
          <w:sz w:val="36"/>
          <w:szCs w:val="36"/>
        </w:rPr>
        <w:t>PROPERTY TAX</w:t>
      </w:r>
    </w:p>
    <w:p w:rsidR="00A73473" w:rsidRPr="00A73473" w:rsidRDefault="00A73473" w:rsidP="00A73473">
      <w:pPr>
        <w:shd w:val="clear" w:color="auto" w:fill="FFFFFF"/>
        <w:spacing w:before="225" w:after="225" w:line="330" w:lineRule="atLeast"/>
        <w:jc w:val="both"/>
        <w:rPr>
          <w:rFonts w:ascii="Arial" w:eastAsia="Times New Roman" w:hAnsi="Arial" w:cs="Arial"/>
          <w:color w:val="212529"/>
          <w:sz w:val="21"/>
          <w:szCs w:val="21"/>
        </w:rPr>
      </w:pPr>
      <w:r w:rsidRPr="00A73473">
        <w:rPr>
          <w:rFonts w:ascii="Calibri" w:eastAsia="Times New Roman" w:hAnsi="Calibri" w:cs="Arial"/>
          <w:color w:val="212529"/>
          <w:shd w:val="clear" w:color="auto" w:fill="FFFFFF"/>
        </w:rPr>
        <w:t>Property Tax is levied and collection under Sindh Urban Immovable Property Tax Act, 1958. A uniform rate of tax is levied on all categories of properties @ 25% of annual rental value (ARV).</w:t>
      </w:r>
      <w:proofErr w:type="spellStart"/>
      <w:r w:rsidRPr="00A73473">
        <w:rPr>
          <w:rFonts w:ascii="Calibri" w:eastAsia="Times New Roman" w:hAnsi="Calibri" w:cs="Arial"/>
          <w:color w:val="212529"/>
          <w:shd w:val="clear" w:color="auto" w:fill="FFFFFF"/>
        </w:rPr>
        <w:t>w.</w:t>
      </w:r>
      <w:proofErr w:type="gramStart"/>
      <w:r w:rsidRPr="00A73473">
        <w:rPr>
          <w:rFonts w:ascii="Calibri" w:eastAsia="Times New Roman" w:hAnsi="Calibri" w:cs="Arial"/>
          <w:color w:val="212529"/>
          <w:shd w:val="clear" w:color="auto" w:fill="FFFFFF"/>
        </w:rPr>
        <w:t>e.from</w:t>
      </w:r>
      <w:proofErr w:type="spellEnd"/>
      <w:proofErr w:type="gramEnd"/>
      <w:r w:rsidRPr="00A73473">
        <w:rPr>
          <w:rFonts w:ascii="Calibri" w:eastAsia="Times New Roman" w:hAnsi="Calibri" w:cs="Arial"/>
          <w:color w:val="212529"/>
          <w:shd w:val="clear" w:color="auto" w:fill="FFFFFF"/>
        </w:rPr>
        <w:t xml:space="preserve"> 01.07.2013.</w:t>
      </w:r>
    </w:p>
    <w:p w:rsidR="00A73473" w:rsidRPr="00A73473" w:rsidRDefault="00A73473" w:rsidP="00A73473">
      <w:pPr>
        <w:shd w:val="clear" w:color="auto" w:fill="FFFFFF"/>
        <w:spacing w:before="225" w:after="225" w:line="330" w:lineRule="atLeast"/>
        <w:jc w:val="both"/>
        <w:rPr>
          <w:rFonts w:ascii="Arial" w:eastAsia="Times New Roman" w:hAnsi="Arial" w:cs="Arial"/>
          <w:color w:val="212529"/>
          <w:sz w:val="21"/>
          <w:szCs w:val="21"/>
        </w:rPr>
      </w:pPr>
      <w:r w:rsidRPr="00A73473">
        <w:rPr>
          <w:rFonts w:ascii="Calibri" w:eastAsia="Times New Roman" w:hAnsi="Calibri" w:cs="Arial"/>
          <w:b/>
          <w:bCs/>
          <w:color w:val="212529"/>
          <w:sz w:val="24"/>
          <w:szCs w:val="24"/>
          <w:shd w:val="clear" w:color="auto" w:fill="FFFFFF"/>
        </w:rPr>
        <w:t>Brief of Property Tax:</w:t>
      </w:r>
      <w:r w:rsidRPr="00A73473">
        <w:rPr>
          <w:rFonts w:ascii="Calibri" w:eastAsia="Times New Roman" w:hAnsi="Calibri" w:cs="Arial"/>
          <w:color w:val="212529"/>
          <w:shd w:val="clear" w:color="auto" w:fill="FFFFFF"/>
        </w:rPr>
        <w:t> </w:t>
      </w:r>
    </w:p>
    <w:p w:rsidR="00A73473" w:rsidRPr="00A73473" w:rsidRDefault="00A73473" w:rsidP="00A73473">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The Property Tax is levied and collected under the Sindh Urban Immovable Property Tax Act, 1958 and Rules framed there under. The Property Tax is levied under Section 3 of the above said Act, by estimating gross annual rent, which is determined under Section 5 of the Act.</w:t>
      </w:r>
    </w:p>
    <w:p w:rsidR="00A73473" w:rsidRPr="00A73473" w:rsidRDefault="00A73473" w:rsidP="00A73473">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To ascertain the Annual Value of property unit the Government of Sindh has rationalized and simplified the system by notifying a valuation table for different localities under Section 5-A of the Sindh Urban Immovable Property Tax Act, 1958. For this purpose, all the Cities (notified as rating areas) of the Province of Sindh have been divided into five Groups and these groups are further bifurcated into four zones according to their socio-economic condition of the localities.</w:t>
      </w:r>
    </w:p>
    <w:p w:rsidR="00A73473" w:rsidRPr="00A73473" w:rsidRDefault="00A73473" w:rsidP="00A73473">
      <w:pPr>
        <w:shd w:val="clear" w:color="auto" w:fill="FFFFFF"/>
        <w:spacing w:before="225" w:after="225" w:line="330" w:lineRule="atLeast"/>
        <w:jc w:val="both"/>
        <w:rPr>
          <w:rFonts w:ascii="Arial" w:eastAsia="Times New Roman" w:hAnsi="Arial" w:cs="Arial"/>
          <w:color w:val="212529"/>
          <w:sz w:val="21"/>
          <w:szCs w:val="21"/>
        </w:rPr>
      </w:pPr>
      <w:r w:rsidRPr="00A73473">
        <w:rPr>
          <w:rFonts w:ascii="Calibri" w:eastAsia="Times New Roman" w:hAnsi="Calibri" w:cs="Arial"/>
          <w:color w:val="212529"/>
          <w:shd w:val="clear" w:color="auto" w:fill="FFFFFF"/>
        </w:rPr>
        <w:t>The category wise different rates have been specified for each Zone of every Group, for the size of Plot n sq. Yard and covered area in sq. Feet of the Property Unit.</w:t>
      </w:r>
    </w:p>
    <w:p w:rsidR="00A73473" w:rsidRPr="00A73473" w:rsidRDefault="00A73473" w:rsidP="00A73473">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The tax is charged and levied @ 25% of the annual value of the lands and buildings,</w:t>
      </w:r>
    </w:p>
    <w:p w:rsidR="00A73473" w:rsidRPr="00A73473" w:rsidRDefault="00A73473" w:rsidP="00A73473">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 xml:space="preserve">Determination </w:t>
      </w:r>
      <w:proofErr w:type="gramStart"/>
      <w:r w:rsidRPr="00A73473">
        <w:rPr>
          <w:rFonts w:ascii="Calibri" w:eastAsia="Times New Roman" w:hAnsi="Calibri" w:cs="Segoe UI"/>
          <w:color w:val="212529"/>
          <w:shd w:val="clear" w:color="auto" w:fill="FFFFFF"/>
        </w:rPr>
        <w:t>Of</w:t>
      </w:r>
      <w:proofErr w:type="gramEnd"/>
      <w:r w:rsidRPr="00A73473">
        <w:rPr>
          <w:rFonts w:ascii="Calibri" w:eastAsia="Times New Roman" w:hAnsi="Calibri" w:cs="Segoe UI"/>
          <w:color w:val="212529"/>
          <w:shd w:val="clear" w:color="auto" w:fill="FFFFFF"/>
        </w:rPr>
        <w:t> Annual Value</w:t>
      </w:r>
    </w:p>
    <w:p w:rsidR="00A73473" w:rsidRPr="00A73473" w:rsidRDefault="00A73473" w:rsidP="00A73473">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 xml:space="preserve">Size of Plot </w:t>
      </w:r>
      <w:proofErr w:type="gramStart"/>
      <w:r w:rsidRPr="00A73473">
        <w:rPr>
          <w:rFonts w:ascii="Calibri" w:eastAsia="Times New Roman" w:hAnsi="Calibri" w:cs="Segoe UI"/>
          <w:color w:val="212529"/>
          <w:shd w:val="clear" w:color="auto" w:fill="FFFFFF"/>
        </w:rPr>
        <w:t>x</w:t>
      </w:r>
      <w:proofErr w:type="gramEnd"/>
      <w:r w:rsidRPr="00A73473">
        <w:rPr>
          <w:rFonts w:ascii="Calibri" w:eastAsia="Times New Roman" w:hAnsi="Calibri" w:cs="Segoe UI"/>
          <w:color w:val="212529"/>
          <w:shd w:val="clear" w:color="auto" w:fill="FFFFFF"/>
        </w:rPr>
        <w:t xml:space="preserve"> Rate x 12.</w:t>
      </w:r>
    </w:p>
    <w:p w:rsidR="00A73473" w:rsidRPr="00A73473" w:rsidRDefault="00A73473" w:rsidP="00A73473">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 xml:space="preserve">Covered Area </w:t>
      </w:r>
      <w:proofErr w:type="gramStart"/>
      <w:r w:rsidRPr="00A73473">
        <w:rPr>
          <w:rFonts w:ascii="Calibri" w:eastAsia="Times New Roman" w:hAnsi="Calibri" w:cs="Segoe UI"/>
          <w:color w:val="212529"/>
          <w:shd w:val="clear" w:color="auto" w:fill="FFFFFF"/>
        </w:rPr>
        <w:t>x</w:t>
      </w:r>
      <w:proofErr w:type="gramEnd"/>
      <w:r w:rsidRPr="00A73473">
        <w:rPr>
          <w:rFonts w:ascii="Calibri" w:eastAsia="Times New Roman" w:hAnsi="Calibri" w:cs="Segoe UI"/>
          <w:color w:val="212529"/>
          <w:shd w:val="clear" w:color="auto" w:fill="FFFFFF"/>
        </w:rPr>
        <w:t xml:space="preserve"> Rate x 12.</w:t>
      </w:r>
    </w:p>
    <w:p w:rsidR="00A73473" w:rsidRPr="00A73473" w:rsidRDefault="00A73473" w:rsidP="00A73473">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Annual Value = (a) Plus (b) Less 10% Allowance for Repair &amp; Maintenance.</w:t>
      </w:r>
    </w:p>
    <w:p w:rsidR="00A73473" w:rsidRPr="00A73473" w:rsidRDefault="00A73473" w:rsidP="00A73473">
      <w:pPr>
        <w:shd w:val="clear" w:color="auto" w:fill="FFFFFF"/>
        <w:spacing w:before="225" w:after="225" w:line="330" w:lineRule="atLeast"/>
        <w:jc w:val="both"/>
        <w:rPr>
          <w:rFonts w:ascii="Arial" w:eastAsia="Times New Roman" w:hAnsi="Arial" w:cs="Arial"/>
          <w:color w:val="212529"/>
          <w:sz w:val="21"/>
          <w:szCs w:val="21"/>
        </w:rPr>
      </w:pPr>
      <w:r w:rsidRPr="00A73473">
        <w:rPr>
          <w:rFonts w:ascii="Calibri" w:eastAsia="Times New Roman" w:hAnsi="Calibri" w:cs="Arial"/>
          <w:color w:val="212529"/>
          <w:shd w:val="clear" w:color="auto" w:fill="FFFFFF"/>
        </w:rPr>
        <w:t>The Government on certain Property Units on the basis of their age, location, category and type of construction of the Units also allows the rebates / concessions in Annual Value / Rates.</w:t>
      </w:r>
    </w:p>
    <w:p w:rsidR="00A73473" w:rsidRPr="00A73473" w:rsidRDefault="00A73473" w:rsidP="00A73473">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z w:val="24"/>
          <w:szCs w:val="24"/>
          <w:shd w:val="clear" w:color="auto" w:fill="FFFFFF"/>
        </w:rPr>
        <w:t>APPEAL AND REVISION:</w:t>
      </w:r>
    </w:p>
    <w:p w:rsidR="00A73473" w:rsidRPr="00A73473" w:rsidRDefault="00A73473" w:rsidP="00A73473">
      <w:pPr>
        <w:shd w:val="clear" w:color="auto" w:fill="FFFFFF"/>
        <w:spacing w:before="225" w:after="225" w:line="330" w:lineRule="atLeast"/>
        <w:jc w:val="both"/>
        <w:rPr>
          <w:rFonts w:ascii="Arial" w:eastAsia="Times New Roman" w:hAnsi="Arial" w:cs="Arial"/>
          <w:color w:val="212529"/>
          <w:sz w:val="21"/>
          <w:szCs w:val="21"/>
        </w:rPr>
      </w:pPr>
      <w:r w:rsidRPr="00A73473">
        <w:rPr>
          <w:rFonts w:ascii="Calibri" w:eastAsia="Times New Roman" w:hAnsi="Calibri" w:cs="Arial"/>
          <w:color w:val="212529"/>
          <w:shd w:val="clear" w:color="auto" w:fill="FFFFFF"/>
        </w:rPr>
        <w:t>Any person aggrieved by an order of the appropriate Authority may file Appeal before the Director or Revision Petition before the Director General, Excise and Taxation, Sindh, Karachi within stipulated period as prescribed in the Act, i.e. 30-Days and one year respectively.</w:t>
      </w:r>
    </w:p>
    <w:p w:rsidR="00A73473" w:rsidRPr="00A73473" w:rsidRDefault="00A73473" w:rsidP="00A73473">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Definition and duties of the Prescribed Authorities.</w:t>
      </w:r>
    </w:p>
    <w:p w:rsidR="00A73473" w:rsidRPr="00A73473" w:rsidRDefault="00A73473" w:rsidP="00A73473">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Assessing Authority: - There is an Assessing Authority for every rating area who exercise such powers and performed such duties as or conferred on it by the Act and Rules, i.e. assessment and collection of tax.</w:t>
      </w:r>
    </w:p>
    <w:p w:rsidR="00A73473" w:rsidRPr="00A73473" w:rsidRDefault="00A73473" w:rsidP="00A73473">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Director: - Perform the duties of collection and appellate authority against any entry in the valuation list or by the insertion there in or omission there from of any matter under Section 10(1-A) of the Act.</w:t>
      </w:r>
    </w:p>
    <w:p w:rsidR="00A73473" w:rsidRPr="00A73473" w:rsidRDefault="00A73473" w:rsidP="00A73473">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lastRenderedPageBreak/>
        <w:t>Director General: - To perform the duties of hearing of revision petitions may on own his motion at any time or an application made against the order by an authority sub-ordinate to him.</w:t>
      </w:r>
    </w:p>
    <w:p w:rsidR="00A73473" w:rsidRPr="00A73473" w:rsidRDefault="00A73473" w:rsidP="00A73473">
      <w:pPr>
        <w:numPr>
          <w:ilvl w:val="0"/>
          <w:numId w:val="7"/>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z w:val="24"/>
          <w:szCs w:val="24"/>
          <w:shd w:val="clear" w:color="auto" w:fill="FFFFFF"/>
        </w:rPr>
        <w:t>RECOVERY OF GOVERNMENT DUES.</w:t>
      </w:r>
    </w:p>
    <w:p w:rsidR="00A73473" w:rsidRPr="00A73473" w:rsidRDefault="00A73473" w:rsidP="00A73473">
      <w:pPr>
        <w:shd w:val="clear" w:color="auto" w:fill="FFFFFF"/>
        <w:spacing w:before="225" w:after="225" w:line="330" w:lineRule="atLeast"/>
        <w:jc w:val="both"/>
        <w:rPr>
          <w:rFonts w:ascii="Arial" w:eastAsia="Times New Roman" w:hAnsi="Arial" w:cs="Arial"/>
          <w:color w:val="212529"/>
          <w:sz w:val="21"/>
          <w:szCs w:val="21"/>
        </w:rPr>
      </w:pPr>
      <w:r w:rsidRPr="00A73473">
        <w:rPr>
          <w:rFonts w:ascii="Calibri" w:eastAsia="Times New Roman" w:hAnsi="Calibri" w:cs="Arial"/>
          <w:color w:val="212529"/>
          <w:shd w:val="clear" w:color="auto" w:fill="FFFFFF"/>
        </w:rPr>
        <w:t>All the outstanding dues / penalty against a property unit are revered under Section 16 of the Act, from the owner of the unit but the dues can be recovered from the tenant of such unit under Section 14 of the Act. The tax remaining unpaid is also recoverable under land revenue act.</w:t>
      </w:r>
    </w:p>
    <w:p w:rsidR="00A73473" w:rsidRPr="00A73473" w:rsidRDefault="00A73473" w:rsidP="00A73473">
      <w:pPr>
        <w:numPr>
          <w:ilvl w:val="0"/>
          <w:numId w:val="8"/>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z w:val="24"/>
          <w:szCs w:val="24"/>
          <w:shd w:val="clear" w:color="auto" w:fill="FFFFFF"/>
        </w:rPr>
        <w:t>EXEMPTION.</w:t>
      </w:r>
    </w:p>
    <w:p w:rsidR="00A73473" w:rsidRPr="00A73473" w:rsidRDefault="00A73473" w:rsidP="00A73473">
      <w:pPr>
        <w:numPr>
          <w:ilvl w:val="0"/>
          <w:numId w:val="9"/>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 xml:space="preserve">Under Section 4 of the Sindh Urban Immovable Property Tax Act, 1958 various property units have been exempted from the Property Tax. The tax shall not be </w:t>
      </w:r>
      <w:proofErr w:type="spellStart"/>
      <w:r w:rsidRPr="00A73473">
        <w:rPr>
          <w:rFonts w:ascii="Calibri" w:eastAsia="Times New Roman" w:hAnsi="Calibri" w:cs="Segoe UI"/>
          <w:color w:val="212529"/>
          <w:shd w:val="clear" w:color="auto" w:fill="FFFFFF"/>
        </w:rPr>
        <w:t>leviable</w:t>
      </w:r>
      <w:proofErr w:type="spellEnd"/>
      <w:r w:rsidRPr="00A73473">
        <w:rPr>
          <w:rFonts w:ascii="Calibri" w:eastAsia="Times New Roman" w:hAnsi="Calibri" w:cs="Segoe UI"/>
          <w:color w:val="212529"/>
          <w:shd w:val="clear" w:color="auto" w:fill="FFFFFF"/>
        </w:rPr>
        <w:t xml:space="preserve"> in respect of the following properties: -</w:t>
      </w:r>
    </w:p>
    <w:p w:rsidR="00A73473" w:rsidRPr="00A73473" w:rsidRDefault="00A73473" w:rsidP="00A73473">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 xml:space="preserve">building and lands owned by Federal </w:t>
      </w:r>
      <w:proofErr w:type="spellStart"/>
      <w:r w:rsidRPr="00A73473">
        <w:rPr>
          <w:rFonts w:ascii="Calibri" w:eastAsia="Times New Roman" w:hAnsi="Calibri" w:cs="Segoe UI"/>
          <w:color w:val="212529"/>
          <w:shd w:val="clear" w:color="auto" w:fill="FFFFFF"/>
        </w:rPr>
        <w:t>Govt.l</w:t>
      </w:r>
      <w:proofErr w:type="spellEnd"/>
      <w:r w:rsidRPr="00A73473">
        <w:rPr>
          <w:rFonts w:ascii="Calibri" w:eastAsia="Times New Roman" w:hAnsi="Calibri" w:cs="Segoe UI"/>
          <w:color w:val="212529"/>
          <w:shd w:val="clear" w:color="auto" w:fill="FFFFFF"/>
        </w:rPr>
        <w:t xml:space="preserve"> Provincial Govt. &amp; Local Govt. for public purpose.</w:t>
      </w:r>
    </w:p>
    <w:p w:rsidR="00A73473" w:rsidRPr="00A73473" w:rsidRDefault="00A73473" w:rsidP="00A73473">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a building or land the annual value of which does not exceed eight hundred sixty-four rupees.</w:t>
      </w:r>
    </w:p>
    <w:p w:rsidR="00A73473" w:rsidRPr="00A73473" w:rsidRDefault="00A73473" w:rsidP="00A73473">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 xml:space="preserve">building used for residential purposes built on a plot nor more than 120 </w:t>
      </w:r>
      <w:proofErr w:type="spellStart"/>
      <w:r w:rsidRPr="00A73473">
        <w:rPr>
          <w:rFonts w:ascii="Calibri" w:eastAsia="Times New Roman" w:hAnsi="Calibri" w:cs="Segoe UI"/>
          <w:color w:val="212529"/>
          <w:shd w:val="clear" w:color="auto" w:fill="FFFFFF"/>
        </w:rPr>
        <w:t>sq.yds</w:t>
      </w:r>
      <w:proofErr w:type="spellEnd"/>
      <w:r w:rsidRPr="00A73473">
        <w:rPr>
          <w:rFonts w:ascii="Calibri" w:eastAsia="Times New Roman" w:hAnsi="Calibri" w:cs="Segoe UI"/>
          <w:color w:val="212529"/>
          <w:shd w:val="clear" w:color="auto" w:fill="FFFFFF"/>
        </w:rPr>
        <w:t>.</w:t>
      </w:r>
    </w:p>
    <w:p w:rsidR="00A73473" w:rsidRPr="00A73473" w:rsidRDefault="00A73473" w:rsidP="00A73473">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one flat with covered area not exceeding six hundred square feet on any floor of a building used for residential purpose;</w:t>
      </w:r>
    </w:p>
    <w:p w:rsidR="00A73473" w:rsidRPr="00A73473" w:rsidRDefault="00A73473" w:rsidP="00A73473">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 xml:space="preserve">buildings and lands or portions thereof used exclusively for libraries, public park &amp; play grounds &amp; buildings and lands used exclusively for public worship or public Charity including mosques, churches dharma Salas, </w:t>
      </w:r>
      <w:proofErr w:type="spellStart"/>
      <w:r w:rsidRPr="00A73473">
        <w:rPr>
          <w:rFonts w:ascii="Calibri" w:eastAsia="Times New Roman" w:hAnsi="Calibri" w:cs="Segoe UI"/>
          <w:color w:val="212529"/>
          <w:shd w:val="clear" w:color="auto" w:fill="FFFFFF"/>
        </w:rPr>
        <w:t>gurdawaras</w:t>
      </w:r>
      <w:proofErr w:type="spellEnd"/>
      <w:r w:rsidRPr="00A73473">
        <w:rPr>
          <w:rFonts w:ascii="Calibri" w:eastAsia="Times New Roman" w:hAnsi="Calibri" w:cs="Segoe UI"/>
          <w:color w:val="212529"/>
          <w:shd w:val="clear" w:color="auto" w:fill="FFFFFF"/>
        </w:rPr>
        <w:t>, orphanages, alms house burial or burning grounds or other places for the disposal of the dead:</w:t>
      </w:r>
    </w:p>
    <w:p w:rsidR="00A73473" w:rsidRPr="00A73473" w:rsidRDefault="00A73473" w:rsidP="00A73473">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buildings and lands the annual value does not exceed 48000/= rupees, owned by widows, minor orphans and permanently disabled persons</w:t>
      </w:r>
    </w:p>
    <w:p w:rsidR="00A73473" w:rsidRPr="009371C6" w:rsidRDefault="00A73473" w:rsidP="00A73473">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73473">
        <w:rPr>
          <w:rFonts w:ascii="Calibri" w:eastAsia="Times New Roman" w:hAnsi="Calibri" w:cs="Segoe UI"/>
          <w:color w:val="212529"/>
          <w:shd w:val="clear" w:color="auto" w:fill="FFFFFF"/>
        </w:rPr>
        <w:t>buildings and lands or portions there of other than commercial properties declared as protected heritage under the Sindh Culture Heritage (Preservation) Act 1994.</w:t>
      </w:r>
    </w:p>
    <w:p w:rsidR="009371C6" w:rsidRDefault="009371C6" w:rsidP="009371C6">
      <w:pPr>
        <w:shd w:val="clear" w:color="auto" w:fill="FFFFFF"/>
        <w:spacing w:before="100" w:beforeAutospacing="1" w:after="100" w:afterAutospacing="1" w:line="240" w:lineRule="auto"/>
        <w:jc w:val="both"/>
        <w:rPr>
          <w:rFonts w:ascii="Calibri" w:eastAsia="Times New Roman" w:hAnsi="Calibri" w:cs="Segoe UI"/>
          <w:color w:val="212529"/>
          <w:shd w:val="clear" w:color="auto" w:fill="FFFFFF"/>
        </w:rPr>
      </w:pPr>
    </w:p>
    <w:p w:rsidR="009371C6" w:rsidRDefault="009371C6" w:rsidP="009371C6">
      <w:pPr>
        <w:shd w:val="clear" w:color="auto" w:fill="FFFFFF"/>
        <w:spacing w:before="100" w:beforeAutospacing="1" w:after="100" w:afterAutospacing="1" w:line="240" w:lineRule="auto"/>
        <w:jc w:val="both"/>
        <w:rPr>
          <w:rFonts w:ascii="Calibri" w:eastAsia="Times New Roman" w:hAnsi="Calibri" w:cs="Segoe UI"/>
          <w:color w:val="212529"/>
          <w:shd w:val="clear" w:color="auto" w:fill="FFFFFF"/>
        </w:rPr>
      </w:pPr>
    </w:p>
    <w:p w:rsidR="009371C6" w:rsidRDefault="009371C6" w:rsidP="009371C6">
      <w:pPr>
        <w:shd w:val="clear" w:color="auto" w:fill="FFFFFF"/>
        <w:spacing w:before="100" w:beforeAutospacing="1" w:after="100" w:afterAutospacing="1" w:line="240" w:lineRule="auto"/>
        <w:jc w:val="both"/>
        <w:rPr>
          <w:rFonts w:ascii="Calibri" w:eastAsia="Times New Roman" w:hAnsi="Calibri" w:cs="Segoe UI"/>
          <w:color w:val="212529"/>
          <w:shd w:val="clear" w:color="auto" w:fill="FFFFFF"/>
        </w:rPr>
      </w:pPr>
    </w:p>
    <w:p w:rsidR="009371C6" w:rsidRDefault="009371C6" w:rsidP="009371C6">
      <w:pPr>
        <w:shd w:val="clear" w:color="auto" w:fill="FFFFFF"/>
        <w:spacing w:before="100" w:beforeAutospacing="1" w:after="100" w:afterAutospacing="1" w:line="240" w:lineRule="auto"/>
        <w:jc w:val="both"/>
        <w:rPr>
          <w:rFonts w:ascii="Calibri" w:eastAsia="Times New Roman" w:hAnsi="Calibri" w:cs="Segoe UI"/>
          <w:color w:val="212529"/>
          <w:shd w:val="clear" w:color="auto" w:fill="FFFFFF"/>
        </w:rPr>
      </w:pPr>
    </w:p>
    <w:p w:rsidR="009371C6" w:rsidRDefault="009371C6" w:rsidP="009371C6">
      <w:pPr>
        <w:shd w:val="clear" w:color="auto" w:fill="FFFFFF"/>
        <w:spacing w:before="100" w:beforeAutospacing="1" w:after="100" w:afterAutospacing="1" w:line="240" w:lineRule="auto"/>
        <w:jc w:val="both"/>
        <w:rPr>
          <w:rFonts w:ascii="Calibri" w:eastAsia="Times New Roman" w:hAnsi="Calibri" w:cs="Segoe UI"/>
          <w:color w:val="212529"/>
          <w:shd w:val="clear" w:color="auto" w:fill="FFFFFF"/>
        </w:rPr>
      </w:pPr>
    </w:p>
    <w:p w:rsidR="009371C6" w:rsidRDefault="009371C6" w:rsidP="009371C6">
      <w:pPr>
        <w:shd w:val="clear" w:color="auto" w:fill="FFFFFF"/>
        <w:spacing w:before="100" w:beforeAutospacing="1" w:after="100" w:afterAutospacing="1" w:line="240" w:lineRule="auto"/>
        <w:jc w:val="both"/>
        <w:rPr>
          <w:rFonts w:ascii="Calibri" w:eastAsia="Times New Roman" w:hAnsi="Calibri" w:cs="Segoe UI"/>
          <w:color w:val="212529"/>
          <w:shd w:val="clear" w:color="auto" w:fill="FFFFFF"/>
        </w:rPr>
      </w:pPr>
    </w:p>
    <w:p w:rsidR="009371C6" w:rsidRPr="00A73473" w:rsidRDefault="009371C6" w:rsidP="009371C6">
      <w:pPr>
        <w:shd w:val="clear" w:color="auto" w:fill="FFFFFF"/>
        <w:spacing w:before="100" w:beforeAutospacing="1" w:after="100" w:afterAutospacing="1" w:line="240" w:lineRule="auto"/>
        <w:jc w:val="both"/>
        <w:rPr>
          <w:rFonts w:ascii="Segoe UI" w:eastAsia="Times New Roman" w:hAnsi="Segoe UI" w:cs="Segoe UI"/>
          <w:color w:val="212529"/>
          <w:sz w:val="24"/>
          <w:szCs w:val="24"/>
        </w:rPr>
      </w:pPr>
      <w:bookmarkStart w:id="0" w:name="_GoBack"/>
      <w:bookmarkEnd w:id="0"/>
    </w:p>
    <w:p w:rsidR="009371C6" w:rsidRDefault="009371C6" w:rsidP="009371C6">
      <w:pPr>
        <w:pStyle w:val="Heading2"/>
        <w:pBdr>
          <w:top w:val="single" w:sz="6" w:space="0" w:color="DEDEDE"/>
        </w:pBdr>
        <w:shd w:val="clear" w:color="auto" w:fill="FFFFFF"/>
        <w:rPr>
          <w:rFonts w:ascii="PwC Helvetica Neue" w:hAnsi="PwC Helvetica Neue"/>
          <w:b w:val="0"/>
          <w:bCs w:val="0"/>
          <w:color w:val="D04A02"/>
        </w:rPr>
      </w:pPr>
      <w:r>
        <w:rPr>
          <w:rFonts w:ascii="PwC Helvetica Neue" w:hAnsi="PwC Helvetica Neue"/>
          <w:b w:val="0"/>
          <w:bCs w:val="0"/>
          <w:color w:val="D04A02"/>
        </w:rPr>
        <w:lastRenderedPageBreak/>
        <w:t>Capital gains</w:t>
      </w:r>
    </w:p>
    <w:p w:rsidR="009371C6" w:rsidRDefault="009371C6" w:rsidP="009371C6">
      <w:pPr>
        <w:pStyle w:val="NormalWeb"/>
        <w:shd w:val="clear" w:color="auto" w:fill="FFFFFF"/>
        <w:spacing w:line="300" w:lineRule="atLeast"/>
        <w:rPr>
          <w:rFonts w:ascii="PwC Helvetica Neue" w:hAnsi="PwC Helvetica Neue"/>
          <w:color w:val="464646"/>
        </w:rPr>
      </w:pPr>
      <w:r>
        <w:rPr>
          <w:rFonts w:ascii="PwC Helvetica Neue" w:hAnsi="PwC Helvetica Neue"/>
          <w:color w:val="464646"/>
        </w:rPr>
        <w:t>Capital gains on the sale, exchange, or transfer of movable capital assets are taxable. Capital gains on the sale of immovable property are subject to tax depending upon the amount of gain and holding period in the manner tabulated below:</w:t>
      </w:r>
    </w:p>
    <w:tbl>
      <w:tblPr>
        <w:tblW w:w="5000" w:type="pct"/>
        <w:tblBorders>
          <w:top w:val="single" w:sz="12" w:space="0" w:color="767676"/>
          <w:bottom w:val="single" w:sz="6" w:space="0" w:color="767676"/>
        </w:tblBorders>
        <w:shd w:val="clear" w:color="auto" w:fill="FFFFFF"/>
        <w:tblCellMar>
          <w:top w:w="15" w:type="dxa"/>
          <w:left w:w="15" w:type="dxa"/>
          <w:bottom w:w="15" w:type="dxa"/>
          <w:right w:w="15" w:type="dxa"/>
        </w:tblCellMar>
        <w:tblLook w:val="04A0" w:firstRow="1" w:lastRow="0" w:firstColumn="1" w:lastColumn="0" w:noHBand="0" w:noVBand="1"/>
      </w:tblPr>
      <w:tblGrid>
        <w:gridCol w:w="5683"/>
        <w:gridCol w:w="3677"/>
      </w:tblGrid>
      <w:tr w:rsidR="009371C6" w:rsidTr="009371C6">
        <w:tc>
          <w:tcPr>
            <w:tcW w:w="3060" w:type="dxa"/>
            <w:tcBorders>
              <w:top w:val="outset" w:sz="6" w:space="0" w:color="auto"/>
              <w:left w:val="nil"/>
              <w:bottom w:val="outset" w:sz="6" w:space="0" w:color="auto"/>
              <w:right w:val="single" w:sz="6" w:space="0" w:color="767676"/>
            </w:tcBorders>
            <w:shd w:val="clear" w:color="auto" w:fill="F2F2F2"/>
            <w:tcMar>
              <w:top w:w="180" w:type="dxa"/>
              <w:left w:w="180" w:type="dxa"/>
              <w:bottom w:w="180" w:type="dxa"/>
              <w:right w:w="180" w:type="dxa"/>
            </w:tcMar>
            <w:vAlign w:val="center"/>
            <w:hideMark/>
          </w:tcPr>
          <w:p w:rsidR="009371C6" w:rsidRDefault="009371C6">
            <w:pPr>
              <w:rPr>
                <w:rFonts w:ascii="Arial" w:hAnsi="Arial" w:cs="Arial"/>
                <w:b/>
                <w:bCs/>
                <w:color w:val="2D2D2D"/>
              </w:rPr>
            </w:pPr>
            <w:r>
              <w:rPr>
                <w:rFonts w:ascii="Arial" w:hAnsi="Arial" w:cs="Arial"/>
                <w:b/>
                <w:bCs/>
                <w:color w:val="2D2D2D"/>
              </w:rPr>
              <w:t>Holding period (years)</w:t>
            </w:r>
          </w:p>
        </w:tc>
        <w:tc>
          <w:tcPr>
            <w:tcW w:w="1980" w:type="dxa"/>
            <w:tcBorders>
              <w:top w:val="outset" w:sz="6" w:space="0" w:color="auto"/>
              <w:left w:val="nil"/>
              <w:bottom w:val="outset" w:sz="6" w:space="0" w:color="auto"/>
              <w:right w:val="nil"/>
            </w:tcBorders>
            <w:shd w:val="clear" w:color="auto" w:fill="F2F2F2"/>
            <w:tcMar>
              <w:top w:w="180" w:type="dxa"/>
              <w:left w:w="180" w:type="dxa"/>
              <w:bottom w:w="180" w:type="dxa"/>
              <w:right w:w="180" w:type="dxa"/>
            </w:tcMar>
            <w:vAlign w:val="center"/>
            <w:hideMark/>
          </w:tcPr>
          <w:p w:rsidR="009371C6" w:rsidRDefault="009371C6">
            <w:pPr>
              <w:jc w:val="right"/>
              <w:rPr>
                <w:rFonts w:ascii="Arial" w:hAnsi="Arial" w:cs="Arial"/>
                <w:b/>
                <w:bCs/>
                <w:color w:val="2D2D2D"/>
              </w:rPr>
            </w:pPr>
            <w:r>
              <w:rPr>
                <w:rFonts w:ascii="Arial" w:hAnsi="Arial" w:cs="Arial"/>
                <w:b/>
                <w:bCs/>
                <w:color w:val="2D2D2D"/>
              </w:rPr>
              <w:t>Amount of gain</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0 to 1</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A</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1 to 2</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A x ¾</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2 to 3</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A x ½</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3 to 4</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A x ¼</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4 +</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0</w:t>
            </w:r>
          </w:p>
        </w:tc>
      </w:tr>
    </w:tbl>
    <w:p w:rsidR="009371C6" w:rsidRDefault="009371C6" w:rsidP="009371C6">
      <w:pPr>
        <w:pStyle w:val="NormalWeb"/>
        <w:shd w:val="clear" w:color="auto" w:fill="FFFFFF"/>
        <w:spacing w:line="300" w:lineRule="atLeast"/>
        <w:rPr>
          <w:rFonts w:ascii="PwC Helvetica Neue" w:hAnsi="PwC Helvetica Neue"/>
          <w:color w:val="464646"/>
        </w:rPr>
      </w:pPr>
      <w:r>
        <w:rPr>
          <w:rFonts w:ascii="PwC Helvetica Neue" w:hAnsi="PwC Helvetica Neue"/>
          <w:color w:val="464646"/>
        </w:rPr>
        <w:t>The capital gains worked out as above are subject to tax at the following rates as revised through Finance Act 2021:</w:t>
      </w:r>
    </w:p>
    <w:tbl>
      <w:tblPr>
        <w:tblW w:w="5000" w:type="pct"/>
        <w:tblBorders>
          <w:top w:val="single" w:sz="12" w:space="0" w:color="767676"/>
          <w:bottom w:val="single" w:sz="6" w:space="0" w:color="767676"/>
        </w:tblBorders>
        <w:shd w:val="clear" w:color="auto" w:fill="FFFFFF"/>
        <w:tblCellMar>
          <w:top w:w="15" w:type="dxa"/>
          <w:left w:w="15" w:type="dxa"/>
          <w:bottom w:w="15" w:type="dxa"/>
          <w:right w:w="15" w:type="dxa"/>
        </w:tblCellMar>
        <w:tblLook w:val="04A0" w:firstRow="1" w:lastRow="0" w:firstColumn="1" w:lastColumn="0" w:noHBand="0" w:noVBand="1"/>
      </w:tblPr>
      <w:tblGrid>
        <w:gridCol w:w="5683"/>
        <w:gridCol w:w="3677"/>
      </w:tblGrid>
      <w:tr w:rsidR="009371C6" w:rsidTr="009371C6">
        <w:tc>
          <w:tcPr>
            <w:tcW w:w="3060" w:type="dxa"/>
            <w:tcBorders>
              <w:top w:val="outset" w:sz="6" w:space="0" w:color="auto"/>
              <w:left w:val="nil"/>
              <w:bottom w:val="outset" w:sz="6" w:space="0" w:color="auto"/>
              <w:right w:val="single" w:sz="6" w:space="0" w:color="767676"/>
            </w:tcBorders>
            <w:shd w:val="clear" w:color="auto" w:fill="F2F2F2"/>
            <w:tcMar>
              <w:top w:w="180" w:type="dxa"/>
              <w:left w:w="180" w:type="dxa"/>
              <w:bottom w:w="180" w:type="dxa"/>
              <w:right w:w="180" w:type="dxa"/>
            </w:tcMar>
            <w:vAlign w:val="center"/>
            <w:hideMark/>
          </w:tcPr>
          <w:p w:rsidR="009371C6" w:rsidRDefault="009371C6">
            <w:pPr>
              <w:rPr>
                <w:rFonts w:ascii="Arial" w:hAnsi="Arial" w:cs="Arial"/>
                <w:b/>
                <w:bCs/>
                <w:color w:val="2D2D2D"/>
              </w:rPr>
            </w:pPr>
            <w:r>
              <w:rPr>
                <w:rFonts w:ascii="Arial" w:hAnsi="Arial" w:cs="Arial"/>
                <w:b/>
                <w:bCs/>
                <w:color w:val="2D2D2D"/>
              </w:rPr>
              <w:t>Gain amount (PKR in millions)</w:t>
            </w:r>
          </w:p>
        </w:tc>
        <w:tc>
          <w:tcPr>
            <w:tcW w:w="1980" w:type="dxa"/>
            <w:tcBorders>
              <w:top w:val="outset" w:sz="6" w:space="0" w:color="auto"/>
              <w:left w:val="nil"/>
              <w:bottom w:val="outset" w:sz="6" w:space="0" w:color="auto"/>
              <w:right w:val="nil"/>
            </w:tcBorders>
            <w:shd w:val="clear" w:color="auto" w:fill="F2F2F2"/>
            <w:tcMar>
              <w:top w:w="180" w:type="dxa"/>
              <w:left w:w="180" w:type="dxa"/>
              <w:bottom w:w="180" w:type="dxa"/>
              <w:right w:w="180" w:type="dxa"/>
            </w:tcMar>
            <w:vAlign w:val="center"/>
            <w:hideMark/>
          </w:tcPr>
          <w:p w:rsidR="009371C6" w:rsidRDefault="009371C6">
            <w:pPr>
              <w:jc w:val="right"/>
              <w:rPr>
                <w:rFonts w:ascii="Arial" w:hAnsi="Arial" w:cs="Arial"/>
                <w:b/>
                <w:bCs/>
                <w:color w:val="2D2D2D"/>
              </w:rPr>
            </w:pPr>
            <w:r>
              <w:rPr>
                <w:rFonts w:ascii="Arial" w:hAnsi="Arial" w:cs="Arial"/>
                <w:b/>
                <w:bCs/>
                <w:color w:val="2D2D2D"/>
              </w:rPr>
              <w:t>Rate of tax (%)</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0 to 5</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3.5</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5 to 10</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7.5</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10 to 15</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10.0</w:t>
            </w:r>
          </w:p>
        </w:tc>
      </w:tr>
      <w:tr w:rsidR="009371C6" w:rsidTr="009371C6">
        <w:tc>
          <w:tcPr>
            <w:tcW w:w="306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rPr>
                <w:rFonts w:ascii="Arial" w:hAnsi="Arial" w:cs="Arial"/>
                <w:color w:val="464646"/>
              </w:rPr>
            </w:pPr>
            <w:r>
              <w:rPr>
                <w:rFonts w:ascii="Arial" w:hAnsi="Arial" w:cs="Arial"/>
                <w:color w:val="464646"/>
              </w:rPr>
              <w:t>15 +</w:t>
            </w:r>
          </w:p>
        </w:tc>
        <w:tc>
          <w:tcPr>
            <w:tcW w:w="1980" w:type="dxa"/>
            <w:tcBorders>
              <w:top w:val="outset" w:sz="6" w:space="0" w:color="auto"/>
              <w:left w:val="nil"/>
              <w:bottom w:val="outset" w:sz="6" w:space="0" w:color="auto"/>
              <w:right w:val="nil"/>
            </w:tcBorders>
            <w:shd w:val="clear" w:color="auto" w:fill="FFFFFF"/>
            <w:tcMar>
              <w:top w:w="180" w:type="dxa"/>
              <w:left w:w="180" w:type="dxa"/>
              <w:bottom w:w="180" w:type="dxa"/>
              <w:right w:w="180" w:type="dxa"/>
            </w:tcMar>
            <w:vAlign w:val="center"/>
            <w:hideMark/>
          </w:tcPr>
          <w:p w:rsidR="009371C6" w:rsidRDefault="009371C6">
            <w:pPr>
              <w:jc w:val="right"/>
              <w:rPr>
                <w:rFonts w:ascii="Arial" w:hAnsi="Arial" w:cs="Arial"/>
                <w:color w:val="464646"/>
              </w:rPr>
            </w:pPr>
            <w:r>
              <w:rPr>
                <w:rFonts w:ascii="Arial" w:hAnsi="Arial" w:cs="Arial"/>
                <w:color w:val="464646"/>
              </w:rPr>
              <w:t>15.0</w:t>
            </w:r>
          </w:p>
        </w:tc>
      </w:tr>
    </w:tbl>
    <w:p w:rsidR="00C41281" w:rsidRDefault="00C41281"/>
    <w:sectPr w:rsidR="00C41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wC Helvetica 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4150"/>
    <w:multiLevelType w:val="multilevel"/>
    <w:tmpl w:val="92F2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1333D"/>
    <w:multiLevelType w:val="multilevel"/>
    <w:tmpl w:val="D9CCE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662DB"/>
    <w:multiLevelType w:val="multilevel"/>
    <w:tmpl w:val="7F7C5E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A48B8"/>
    <w:multiLevelType w:val="multilevel"/>
    <w:tmpl w:val="1B3E62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897001"/>
    <w:multiLevelType w:val="multilevel"/>
    <w:tmpl w:val="517A2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1620D"/>
    <w:multiLevelType w:val="multilevel"/>
    <w:tmpl w:val="9EACC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FB493C"/>
    <w:multiLevelType w:val="multilevel"/>
    <w:tmpl w:val="9CE2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E0AB5"/>
    <w:multiLevelType w:val="multilevel"/>
    <w:tmpl w:val="C04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6157D"/>
    <w:multiLevelType w:val="multilevel"/>
    <w:tmpl w:val="460C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D06CE2"/>
    <w:multiLevelType w:val="multilevel"/>
    <w:tmpl w:val="B5FE6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8A7719"/>
    <w:multiLevelType w:val="multilevel"/>
    <w:tmpl w:val="B73CF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0"/>
  </w:num>
  <w:num w:numId="4">
    <w:abstractNumId w:val="3"/>
  </w:num>
  <w:num w:numId="5">
    <w:abstractNumId w:val="2"/>
  </w:num>
  <w:num w:numId="6">
    <w:abstractNumId w:val="6"/>
  </w:num>
  <w:num w:numId="7">
    <w:abstractNumId w:val="4"/>
  </w:num>
  <w:num w:numId="8">
    <w:abstractNumId w:val="1"/>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73"/>
    <w:rsid w:val="009371C6"/>
    <w:rsid w:val="00A73473"/>
    <w:rsid w:val="00C41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42ED"/>
  <w15:chartTrackingRefBased/>
  <w15:docId w15:val="{04E31D93-6940-4BC9-92B1-0976ACE0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34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4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34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864">
      <w:bodyDiv w:val="1"/>
      <w:marLeft w:val="0"/>
      <w:marRight w:val="0"/>
      <w:marTop w:val="0"/>
      <w:marBottom w:val="0"/>
      <w:divBdr>
        <w:top w:val="none" w:sz="0" w:space="0" w:color="auto"/>
        <w:left w:val="none" w:sz="0" w:space="0" w:color="auto"/>
        <w:bottom w:val="none" w:sz="0" w:space="0" w:color="auto"/>
        <w:right w:val="none" w:sz="0" w:space="0" w:color="auto"/>
      </w:divBdr>
    </w:div>
    <w:div w:id="15083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Hadi</dc:creator>
  <cp:keywords/>
  <dc:description/>
  <cp:lastModifiedBy>Abdul Hadi</cp:lastModifiedBy>
  <cp:revision>2</cp:revision>
  <dcterms:created xsi:type="dcterms:W3CDTF">2021-11-10T07:22:00Z</dcterms:created>
  <dcterms:modified xsi:type="dcterms:W3CDTF">2021-11-10T07:52:00Z</dcterms:modified>
</cp:coreProperties>
</file>